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60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9" w:hRule="atLeast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2023年第三批南宁市兴宁区公开考试招聘专职化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城市社区工作者岗位计划表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tbl>
            <w:tblPr>
              <w:tblStyle w:val="4"/>
              <w:tblW w:w="15081" w:type="dxa"/>
              <w:tblInd w:w="3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4"/>
              <w:gridCol w:w="1373"/>
              <w:gridCol w:w="1053"/>
              <w:gridCol w:w="545"/>
              <w:gridCol w:w="1240"/>
              <w:gridCol w:w="1214"/>
              <w:gridCol w:w="851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20" w:hRule="atLeast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招聘总人数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85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民生街道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岗位一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5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leftChars="0" w:right="0" w:rightChars="0"/>
                    <w:jc w:val="left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面向2023年应届大学毕业生招聘，由民生街道统筹安排到相关社区工作。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岗位二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5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招聘完成后由民生街道统筹安排到相关社区工作,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其中3人为残疾人协会专职委员。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兴东街道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岗位一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面向2023年应届大学毕业生招聘，由兴东街道统筹安排到相关社区工作。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岗位二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招聘完成后由兴东街道统筹安排到相关社区工作,其中1人为残疾人协会专职委员。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三塘镇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岗位一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面向2023年应届大学毕业生招聘，由三塘镇统筹安排到相关社区工作。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岗位二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招聘完成后由三塘镇统筹安排到相关社区工作,其中1人为残疾人协会专职委员。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40"/>
                <w:szCs w:val="40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AyNGU4Y2ViMDY2NzA0ODkxMTAxZGFiZjVjYTcifQ=="/>
  </w:docVars>
  <w:rsids>
    <w:rsidRoot w:val="03B32EC7"/>
    <w:rsid w:val="03B32EC7"/>
    <w:rsid w:val="2FD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napToGrid w:val="0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2023-04-07T08:55:00Z</dcterms:created>
  <dc:creator>祥♥安</dc:creator>
  <cp:lastModifiedBy>祥♥安</cp:lastModifiedBy>
  <dcterms:modified xsi:type="dcterms:W3CDTF">2023-09-13T01:21:28Z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88109ED0FF2B479D9A78CBE9D0395523_13</vt:lpwstr>
  </property>
</Properties>
</file>